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6E18" w14:textId="24FA7B91" w:rsidR="00764EF8" w:rsidRDefault="0081728E" w:rsidP="00DB1826">
      <w:pPr>
        <w:rPr>
          <w:rFonts w:ascii="Times New Roman" w:hAnsi="Times New Roman" w:cs="Times New Roman"/>
          <w:color w:val="C00000"/>
          <w:sz w:val="56"/>
          <w:szCs w:val="56"/>
        </w:rPr>
      </w:pPr>
      <w:r>
        <w:rPr>
          <w:rFonts w:ascii="Times New Roman" w:hAnsi="Times New Roman" w:cs="Times New Roman"/>
          <w:color w:val="C00000"/>
          <w:sz w:val="56"/>
          <w:szCs w:val="56"/>
        </w:rPr>
        <w:t xml:space="preserve">                        </w:t>
      </w:r>
      <w:r w:rsidR="00164B75">
        <w:rPr>
          <w:rFonts w:ascii="Times New Roman" w:hAnsi="Times New Roman" w:cs="Times New Roman"/>
          <w:noProof/>
          <w:color w:val="C00000"/>
          <w:sz w:val="56"/>
          <w:szCs w:val="56"/>
        </w:rPr>
        <w:drawing>
          <wp:inline distT="0" distB="0" distL="0" distR="0" wp14:anchorId="758FC66B" wp14:editId="331926FE">
            <wp:extent cx="1485900" cy="22772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202" cy="2293029"/>
                    </a:xfrm>
                    <a:prstGeom prst="rect">
                      <a:avLst/>
                    </a:prstGeom>
                    <a:noFill/>
                    <a:ln>
                      <a:noFill/>
                    </a:ln>
                  </pic:spPr>
                </pic:pic>
              </a:graphicData>
            </a:graphic>
          </wp:inline>
        </w:drawing>
      </w:r>
    </w:p>
    <w:p w14:paraId="294A4855" w14:textId="10B0A225" w:rsidR="00837537" w:rsidRPr="00401A76" w:rsidRDefault="00DB1826" w:rsidP="00DB1826">
      <w:pPr>
        <w:ind w:left="1440"/>
        <w:rPr>
          <w:rFonts w:ascii="Times New Roman" w:hAnsi="Times New Roman" w:cs="Times New Roman"/>
          <w:color w:val="C00000"/>
          <w:sz w:val="24"/>
          <w:szCs w:val="24"/>
        </w:rPr>
      </w:pPr>
      <w:r>
        <w:rPr>
          <w:rFonts w:ascii="Times New Roman" w:hAnsi="Times New Roman" w:cs="Times New Roman"/>
          <w:color w:val="C00000"/>
          <w:sz w:val="56"/>
          <w:szCs w:val="56"/>
        </w:rPr>
        <w:t xml:space="preserve">    </w:t>
      </w:r>
      <w:r w:rsidR="00837537" w:rsidRPr="00A52B70">
        <w:rPr>
          <w:rFonts w:ascii="Times New Roman" w:hAnsi="Times New Roman" w:cs="Times New Roman"/>
          <w:color w:val="C00000"/>
          <w:sz w:val="56"/>
          <w:szCs w:val="56"/>
        </w:rPr>
        <w:t>(Church or Entity Name)</w:t>
      </w:r>
    </w:p>
    <w:p w14:paraId="21C59DAD" w14:textId="0A08161C" w:rsidR="00837537" w:rsidRDefault="00837537" w:rsidP="00764EF8">
      <w:pPr>
        <w:jc w:val="center"/>
        <w:rPr>
          <w:rFonts w:ascii="Times New Roman" w:hAnsi="Times New Roman" w:cs="Times New Roman"/>
          <w:sz w:val="40"/>
          <w:szCs w:val="40"/>
        </w:rPr>
      </w:pPr>
      <w:r>
        <w:rPr>
          <w:rFonts w:ascii="Times New Roman" w:hAnsi="Times New Roman" w:cs="Times New Roman"/>
          <w:sz w:val="40"/>
          <w:szCs w:val="40"/>
        </w:rPr>
        <w:t>(</w:t>
      </w:r>
      <w:r w:rsidR="001E691F">
        <w:rPr>
          <w:rFonts w:ascii="Times New Roman" w:hAnsi="Times New Roman" w:cs="Times New Roman"/>
          <w:sz w:val="40"/>
          <w:szCs w:val="40"/>
        </w:rPr>
        <w:t>April 1</w:t>
      </w:r>
      <w:r w:rsidR="00DB1826">
        <w:rPr>
          <w:rFonts w:ascii="Times New Roman" w:hAnsi="Times New Roman" w:cs="Times New Roman"/>
          <w:sz w:val="40"/>
          <w:szCs w:val="40"/>
        </w:rPr>
        <w:t>5</w:t>
      </w:r>
      <w:r w:rsidR="001E691F">
        <w:rPr>
          <w:rFonts w:ascii="Times New Roman" w:hAnsi="Times New Roman" w:cs="Times New Roman"/>
          <w:sz w:val="40"/>
          <w:szCs w:val="40"/>
        </w:rPr>
        <w:t>, 2021</w:t>
      </w:r>
      <w:r>
        <w:rPr>
          <w:rFonts w:ascii="Times New Roman" w:hAnsi="Times New Roman" w:cs="Times New Roman"/>
          <w:sz w:val="40"/>
          <w:szCs w:val="40"/>
        </w:rPr>
        <w:t>)</w:t>
      </w:r>
    </w:p>
    <w:p w14:paraId="353EC38D" w14:textId="77777777" w:rsidR="00837537" w:rsidRPr="00CA462D" w:rsidRDefault="00837537" w:rsidP="00764EF8">
      <w:pPr>
        <w:jc w:val="center"/>
        <w:rPr>
          <w:rFonts w:ascii="Times New Roman" w:hAnsi="Times New Roman" w:cs="Times New Roman"/>
          <w:sz w:val="40"/>
          <w:szCs w:val="40"/>
        </w:rPr>
      </w:pPr>
      <w:r w:rsidRPr="00CA462D">
        <w:rPr>
          <w:rFonts w:ascii="Times New Roman" w:hAnsi="Times New Roman" w:cs="Times New Roman"/>
          <w:sz w:val="40"/>
          <w:szCs w:val="40"/>
        </w:rPr>
        <w:t xml:space="preserve">Expense Reimbursement </w:t>
      </w:r>
      <w:r>
        <w:rPr>
          <w:rFonts w:ascii="Times New Roman" w:hAnsi="Times New Roman" w:cs="Times New Roman"/>
          <w:sz w:val="40"/>
          <w:szCs w:val="40"/>
        </w:rPr>
        <w:t>Policy</w:t>
      </w:r>
    </w:p>
    <w:p w14:paraId="43E0B98F" w14:textId="77777777" w:rsidR="00837537" w:rsidRDefault="00837537" w:rsidP="00837537">
      <w:pPr>
        <w:pStyle w:val="NormalWeb"/>
      </w:pPr>
      <w:r>
        <w:t xml:space="preserve">The expense reimbursement process allows </w:t>
      </w:r>
      <w:r w:rsidRPr="00B758A8">
        <w:rPr>
          <w:color w:val="C00000"/>
        </w:rPr>
        <w:t xml:space="preserve">(Church Name) </w:t>
      </w:r>
      <w:r>
        <w:t>to pay back employees and/or other individuals who have spent their own money for business-related expenses. When employees and/or individuals receive an expense reimbursement, typically they will not be required to report such payments as wages or income.</w:t>
      </w:r>
    </w:p>
    <w:p w14:paraId="1F3B8BC7" w14:textId="77777777" w:rsidR="00837537" w:rsidRDefault="00837537" w:rsidP="00837537">
      <w:pPr>
        <w:pStyle w:val="NormalWeb"/>
      </w:pPr>
      <w:r>
        <w:t>This type of reimbursable expenses tends to occur when employees or designated individuals travel for the organization but can also be associated with other activities related to their involvement, including, for example, certain purchases of work-related supplies or tools.</w:t>
      </w:r>
    </w:p>
    <w:p w14:paraId="4A6E0930" w14:textId="77777777" w:rsidR="00837537" w:rsidRDefault="00837537" w:rsidP="00837537">
      <w:pPr>
        <w:pStyle w:val="NormalWeb"/>
      </w:pPr>
      <w:r>
        <w:t>Page 15 of IRS</w:t>
      </w:r>
      <w:hyperlink r:id="rId8" w:tgtFrame="_blank" w:history="1">
        <w:r w:rsidRPr="007F52AA">
          <w:rPr>
            <w:rStyle w:val="Hyperlink"/>
            <w:i/>
            <w:iCs/>
          </w:rPr>
          <w:t xml:space="preserve"> Publication 15</w:t>
        </w:r>
      </w:hyperlink>
      <w:r w:rsidRPr="007F52AA">
        <w:rPr>
          <w:rStyle w:val="Emphasis"/>
        </w:rPr>
        <w:t xml:space="preserve">, </w:t>
      </w:r>
      <w:r>
        <w:rPr>
          <w:rStyle w:val="Emphasis"/>
        </w:rPr>
        <w:t>(Circular E), Employer's Tax Guide</w:t>
      </w:r>
      <w:r>
        <w:t>, states that expense reimbursements do not have to be included in an employee's wages if the business has an “accountable” plan.</w:t>
      </w:r>
    </w:p>
    <w:p w14:paraId="7A63639B" w14:textId="77777777" w:rsidR="00837537" w:rsidRPr="00024B68" w:rsidRDefault="00837537" w:rsidP="00837537">
      <w:pPr>
        <w:spacing w:before="100" w:beforeAutospacing="1" w:after="100" w:afterAutospacing="1" w:line="240" w:lineRule="auto"/>
        <w:rPr>
          <w:rFonts w:ascii="Times New Roman" w:eastAsia="Times New Roman" w:hAnsi="Times New Roman" w:cs="Times New Roman"/>
          <w:sz w:val="24"/>
          <w:szCs w:val="24"/>
        </w:rPr>
      </w:pPr>
      <w:proofErr w:type="gramStart"/>
      <w:r w:rsidRPr="00024B68">
        <w:rPr>
          <w:rFonts w:ascii="Times New Roman" w:eastAsia="Times New Roman" w:hAnsi="Times New Roman" w:cs="Times New Roman"/>
          <w:sz w:val="24"/>
          <w:szCs w:val="24"/>
        </w:rPr>
        <w:t>In order to</w:t>
      </w:r>
      <w:proofErr w:type="gramEnd"/>
      <w:r w:rsidRPr="00024B68">
        <w:rPr>
          <w:rFonts w:ascii="Times New Roman" w:eastAsia="Times New Roman" w:hAnsi="Times New Roman" w:cs="Times New Roman"/>
          <w:sz w:val="24"/>
          <w:szCs w:val="24"/>
        </w:rPr>
        <w:t xml:space="preserve"> have an accountable plan, an expense reimbursement policy or advance payment program must meet the following three conditions:</w:t>
      </w:r>
    </w:p>
    <w:p w14:paraId="51F12419" w14:textId="77777777" w:rsidR="00837537" w:rsidRPr="00024B68" w:rsidRDefault="00837537" w:rsidP="0083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B68">
        <w:rPr>
          <w:rFonts w:ascii="Times New Roman" w:eastAsia="Times New Roman" w:hAnsi="Times New Roman" w:cs="Times New Roman"/>
          <w:b/>
          <w:bCs/>
          <w:sz w:val="24"/>
          <w:szCs w:val="24"/>
        </w:rPr>
        <w:t>Business connection:</w:t>
      </w:r>
      <w:r w:rsidRPr="00024B68">
        <w:rPr>
          <w:rFonts w:ascii="Times New Roman" w:eastAsia="Times New Roman" w:hAnsi="Times New Roman" w:cs="Times New Roman"/>
          <w:sz w:val="24"/>
          <w:szCs w:val="24"/>
        </w:rPr>
        <w:t xml:space="preserve"> The expense must occur in the performance of services as an employee of the employer.</w:t>
      </w:r>
    </w:p>
    <w:p w14:paraId="2B02B76A" w14:textId="77777777" w:rsidR="00837537" w:rsidRPr="00024B68" w:rsidRDefault="00837537" w:rsidP="0083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B68">
        <w:rPr>
          <w:rFonts w:ascii="Times New Roman" w:eastAsia="Times New Roman" w:hAnsi="Times New Roman" w:cs="Times New Roman"/>
          <w:b/>
          <w:bCs/>
          <w:sz w:val="24"/>
          <w:szCs w:val="24"/>
        </w:rPr>
        <w:t>Substantiation:</w:t>
      </w:r>
      <w:r w:rsidRPr="00024B68">
        <w:rPr>
          <w:rFonts w:ascii="Times New Roman" w:eastAsia="Times New Roman" w:hAnsi="Times New Roman" w:cs="Times New Roman"/>
          <w:sz w:val="24"/>
          <w:szCs w:val="24"/>
        </w:rPr>
        <w:t xml:space="preserve"> The employee </w:t>
      </w:r>
      <w:hyperlink r:id="rId9" w:tgtFrame="_blank" w:history="1">
        <w:r w:rsidRPr="00024B68">
          <w:rPr>
            <w:rFonts w:ascii="Times New Roman" w:eastAsia="Times New Roman" w:hAnsi="Times New Roman" w:cs="Times New Roman"/>
            <w:sz w:val="24"/>
            <w:szCs w:val="24"/>
            <w:u w:val="single"/>
          </w:rPr>
          <w:t xml:space="preserve">must substantiate </w:t>
        </w:r>
        <w:r w:rsidRPr="007F52AA">
          <w:rPr>
            <w:rFonts w:ascii="Times New Roman" w:eastAsia="Times New Roman" w:hAnsi="Times New Roman" w:cs="Times New Roman"/>
            <w:sz w:val="24"/>
            <w:szCs w:val="24"/>
            <w:u w:val="single"/>
          </w:rPr>
          <w:t>their</w:t>
        </w:r>
        <w:r w:rsidRPr="00024B68">
          <w:rPr>
            <w:rFonts w:ascii="Times New Roman" w:eastAsia="Times New Roman" w:hAnsi="Times New Roman" w:cs="Times New Roman"/>
            <w:sz w:val="24"/>
            <w:szCs w:val="24"/>
            <w:u w:val="single"/>
          </w:rPr>
          <w:t xml:space="preserve"> business expenses</w:t>
        </w:r>
      </w:hyperlink>
      <w:r w:rsidRPr="00024B68">
        <w:rPr>
          <w:rFonts w:ascii="Times New Roman" w:eastAsia="Times New Roman" w:hAnsi="Times New Roman" w:cs="Times New Roman"/>
          <w:sz w:val="24"/>
          <w:szCs w:val="24"/>
        </w:rPr>
        <w:t xml:space="preserve"> by providing the employer with evidence of the amount, time, place, and business purpose of the expense. The employee also must submit business expenses within a reasonable </w:t>
      </w:r>
      <w:proofErr w:type="gramStart"/>
      <w:r w:rsidRPr="00024B68">
        <w:rPr>
          <w:rFonts w:ascii="Times New Roman" w:eastAsia="Times New Roman" w:hAnsi="Times New Roman" w:cs="Times New Roman"/>
          <w:sz w:val="24"/>
          <w:szCs w:val="24"/>
        </w:rPr>
        <w:t>period of time</w:t>
      </w:r>
      <w:proofErr w:type="gramEnd"/>
      <w:r w:rsidRPr="00024B68">
        <w:rPr>
          <w:rFonts w:ascii="Times New Roman" w:eastAsia="Times New Roman" w:hAnsi="Times New Roman" w:cs="Times New Roman"/>
          <w:sz w:val="24"/>
          <w:szCs w:val="24"/>
        </w:rPr>
        <w:t xml:space="preserve"> after they occurred.</w:t>
      </w:r>
    </w:p>
    <w:p w14:paraId="2243194D" w14:textId="77777777" w:rsidR="00837537" w:rsidRPr="008712E7" w:rsidRDefault="00837537" w:rsidP="0083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B68">
        <w:rPr>
          <w:rFonts w:ascii="Times New Roman" w:eastAsia="Times New Roman" w:hAnsi="Times New Roman" w:cs="Times New Roman"/>
          <w:b/>
          <w:bCs/>
          <w:sz w:val="24"/>
          <w:szCs w:val="24"/>
        </w:rPr>
        <w:lastRenderedPageBreak/>
        <w:t>Returning excess amounts:</w:t>
      </w:r>
      <w:r w:rsidRPr="00024B68">
        <w:rPr>
          <w:rFonts w:ascii="Times New Roman" w:eastAsia="Times New Roman" w:hAnsi="Times New Roman" w:cs="Times New Roman"/>
          <w:sz w:val="24"/>
          <w:szCs w:val="24"/>
        </w:rPr>
        <w:t xml:space="preserve"> If any amounts the employer pays to the employee exceed the amounts the employee spent, the employee must return excess amounts to the </w:t>
      </w:r>
      <w:r w:rsidRPr="008712E7">
        <w:rPr>
          <w:rFonts w:ascii="Times New Roman" w:eastAsia="Times New Roman" w:hAnsi="Times New Roman" w:cs="Times New Roman"/>
          <w:sz w:val="24"/>
          <w:szCs w:val="24"/>
        </w:rPr>
        <w:t xml:space="preserve">employer within a reasonable </w:t>
      </w:r>
      <w:proofErr w:type="gramStart"/>
      <w:r w:rsidRPr="008712E7">
        <w:rPr>
          <w:rFonts w:ascii="Times New Roman" w:eastAsia="Times New Roman" w:hAnsi="Times New Roman" w:cs="Times New Roman"/>
          <w:sz w:val="24"/>
          <w:szCs w:val="24"/>
        </w:rPr>
        <w:t>period of time</w:t>
      </w:r>
      <w:proofErr w:type="gramEnd"/>
      <w:r w:rsidRPr="008712E7">
        <w:rPr>
          <w:rFonts w:ascii="Times New Roman" w:eastAsia="Times New Roman" w:hAnsi="Times New Roman" w:cs="Times New Roman"/>
          <w:sz w:val="24"/>
          <w:szCs w:val="24"/>
        </w:rPr>
        <w:t>.</w:t>
      </w:r>
    </w:p>
    <w:p w14:paraId="032E76DE" w14:textId="77777777" w:rsidR="00837537" w:rsidRPr="008712E7" w:rsidRDefault="00837537" w:rsidP="00837537">
      <w:pPr>
        <w:rPr>
          <w:rFonts w:ascii="Times New Roman" w:hAnsi="Times New Roman" w:cs="Times New Roman"/>
          <w:sz w:val="24"/>
          <w:szCs w:val="24"/>
        </w:rPr>
      </w:pPr>
      <w:r w:rsidRPr="008712E7">
        <w:rPr>
          <w:rFonts w:ascii="Times New Roman" w:hAnsi="Times New Roman" w:cs="Times New Roman"/>
          <w:sz w:val="24"/>
          <w:szCs w:val="24"/>
        </w:rPr>
        <w:t>An accountable plan must meet three conditions: having a business connection, substantiation, and returning excess amounts.</w:t>
      </w:r>
    </w:p>
    <w:p w14:paraId="2892D899" w14:textId="77777777" w:rsidR="00837537" w:rsidRPr="008712E7" w:rsidRDefault="00837537" w:rsidP="00837537">
      <w:pPr>
        <w:rPr>
          <w:rFonts w:ascii="Times New Roman" w:hAnsi="Times New Roman" w:cs="Times New Roman"/>
          <w:sz w:val="24"/>
          <w:szCs w:val="24"/>
        </w:rPr>
      </w:pPr>
      <w:r w:rsidRPr="008712E7">
        <w:rPr>
          <w:rFonts w:ascii="Times New Roman" w:hAnsi="Times New Roman" w:cs="Times New Roman"/>
          <w:sz w:val="24"/>
          <w:szCs w:val="24"/>
        </w:rPr>
        <w:t xml:space="preserve">IRS </w:t>
      </w:r>
      <w:hyperlink r:id="rId10" w:tgtFrame="_blank" w:history="1">
        <w:r w:rsidRPr="008712E7">
          <w:rPr>
            <w:rStyle w:val="Hyperlink"/>
            <w:rFonts w:ascii="Times New Roman" w:hAnsi="Times New Roman" w:cs="Times New Roman"/>
            <w:i/>
            <w:iCs/>
            <w:sz w:val="24"/>
            <w:szCs w:val="24"/>
          </w:rPr>
          <w:t>Publication 15</w:t>
        </w:r>
      </w:hyperlink>
      <w:r w:rsidRPr="008712E7">
        <w:rPr>
          <w:rStyle w:val="Emphasis"/>
          <w:rFonts w:ascii="Times New Roman" w:hAnsi="Times New Roman" w:cs="Times New Roman"/>
          <w:sz w:val="24"/>
          <w:szCs w:val="24"/>
        </w:rPr>
        <w:t>, (Circular E), Employer's Tax Guide</w:t>
      </w:r>
      <w:r w:rsidRPr="008712E7">
        <w:rPr>
          <w:rFonts w:ascii="Times New Roman" w:hAnsi="Times New Roman" w:cs="Times New Roman"/>
          <w:sz w:val="24"/>
          <w:szCs w:val="24"/>
        </w:rPr>
        <w:t>, states that the employee must substantiate their business expenses by providing the employer with evidence of the amount, time, place, and business purpose of the expense within a reasonable period of time after they are paid or incurred.</w:t>
      </w:r>
    </w:p>
    <w:p w14:paraId="248C3709" w14:textId="77777777" w:rsidR="00837537" w:rsidRPr="008712E7" w:rsidRDefault="00837537" w:rsidP="00837537">
      <w:pPr>
        <w:spacing w:before="100" w:beforeAutospacing="1" w:after="100" w:afterAutospacing="1" w:line="240" w:lineRule="auto"/>
        <w:rPr>
          <w:rFonts w:ascii="Times New Roman" w:eastAsia="Times New Roman" w:hAnsi="Times New Roman" w:cs="Times New Roman"/>
          <w:sz w:val="24"/>
          <w:szCs w:val="24"/>
        </w:rPr>
      </w:pPr>
      <w:r w:rsidRPr="008712E7">
        <w:rPr>
          <w:rFonts w:ascii="Times New Roman" w:eastAsia="Times New Roman" w:hAnsi="Times New Roman" w:cs="Times New Roman"/>
          <w:sz w:val="24"/>
          <w:szCs w:val="24"/>
        </w:rPr>
        <w:t xml:space="preserve">There are two methods of determining </w:t>
      </w:r>
      <w:r>
        <w:rPr>
          <w:rFonts w:ascii="Times New Roman" w:eastAsia="Times New Roman" w:hAnsi="Times New Roman" w:cs="Times New Roman"/>
          <w:sz w:val="24"/>
          <w:szCs w:val="24"/>
        </w:rPr>
        <w:t>a</w:t>
      </w:r>
      <w:r w:rsidRPr="008712E7">
        <w:rPr>
          <w:rFonts w:ascii="Times New Roman" w:eastAsia="Times New Roman" w:hAnsi="Times New Roman" w:cs="Times New Roman"/>
          <w:sz w:val="24"/>
          <w:szCs w:val="24"/>
        </w:rPr>
        <w:t xml:space="preserve"> reasonable </w:t>
      </w:r>
      <w:proofErr w:type="gramStart"/>
      <w:r w:rsidRPr="008712E7">
        <w:rPr>
          <w:rFonts w:ascii="Times New Roman" w:eastAsia="Times New Roman" w:hAnsi="Times New Roman" w:cs="Times New Roman"/>
          <w:sz w:val="24"/>
          <w:szCs w:val="24"/>
        </w:rPr>
        <w:t>period of time</w:t>
      </w:r>
      <w:proofErr w:type="gramEnd"/>
      <w:r w:rsidRPr="008712E7">
        <w:rPr>
          <w:rFonts w:ascii="Times New Roman" w:eastAsia="Times New Roman" w:hAnsi="Times New Roman" w:cs="Times New Roman"/>
          <w:sz w:val="24"/>
          <w:szCs w:val="24"/>
        </w:rPr>
        <w:t xml:space="preserve"> for substantiation and returning excess amounts:</w:t>
      </w:r>
    </w:p>
    <w:p w14:paraId="32280965" w14:textId="77777777" w:rsidR="00837537" w:rsidRPr="00A045F9" w:rsidRDefault="00837537" w:rsidP="008375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5F9">
        <w:rPr>
          <w:rFonts w:ascii="Times New Roman" w:eastAsia="Times New Roman" w:hAnsi="Times New Roman" w:cs="Times New Roman"/>
          <w:b/>
          <w:bCs/>
          <w:sz w:val="24"/>
          <w:szCs w:val="24"/>
        </w:rPr>
        <w:t>Fixed-date method</w:t>
      </w:r>
      <w:r w:rsidRPr="00A045F9">
        <w:rPr>
          <w:rFonts w:ascii="Times New Roman" w:eastAsia="Times New Roman" w:hAnsi="Times New Roman" w:cs="Times New Roman"/>
          <w:sz w:val="24"/>
          <w:szCs w:val="24"/>
        </w:rPr>
        <w:t xml:space="preserve"> – The expense must be substantiated by the employee within 60 days of being paid or incurred, and the excess amount of any advance must be returned to the employer within 120 days of when the expense was paid or incurred.</w:t>
      </w:r>
    </w:p>
    <w:p w14:paraId="44FD3937" w14:textId="77777777" w:rsidR="00837537" w:rsidRDefault="00837537" w:rsidP="008375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5F9">
        <w:rPr>
          <w:rFonts w:ascii="Times New Roman" w:eastAsia="Times New Roman" w:hAnsi="Times New Roman" w:cs="Times New Roman"/>
          <w:b/>
          <w:bCs/>
          <w:sz w:val="24"/>
          <w:szCs w:val="24"/>
        </w:rPr>
        <w:t>Periodic statement method</w:t>
      </w:r>
      <w:r w:rsidRPr="00A045F9">
        <w:rPr>
          <w:rFonts w:ascii="Times New Roman" w:eastAsia="Times New Roman" w:hAnsi="Times New Roman" w:cs="Times New Roman"/>
          <w:sz w:val="24"/>
          <w:szCs w:val="24"/>
        </w:rPr>
        <w:t xml:space="preserve"> – The employer can issue a periodic statement to the employee detailing amounts that have been paid and not substantiated and require the employee to either substantiate the excess amount or return it to the employer within 120 days of receiving the statement. Periodic statements must occur at least quarterly.</w:t>
      </w:r>
    </w:p>
    <w:p w14:paraId="4188BE6F" w14:textId="6D4F2D87" w:rsidR="00837537" w:rsidRPr="00A045F9" w:rsidRDefault="00837537" w:rsidP="00837537">
      <w:pPr>
        <w:spacing w:before="100" w:beforeAutospacing="1" w:after="100" w:afterAutospacing="1" w:line="240" w:lineRule="auto"/>
        <w:rPr>
          <w:rFonts w:ascii="Times New Roman" w:eastAsia="Times New Roman" w:hAnsi="Times New Roman" w:cs="Times New Roman"/>
          <w:sz w:val="24"/>
          <w:szCs w:val="24"/>
        </w:rPr>
      </w:pPr>
      <w:r w:rsidRPr="00F36B39">
        <w:rPr>
          <w:rFonts w:ascii="Times New Roman" w:eastAsia="Times New Roman" w:hAnsi="Times New Roman" w:cs="Times New Roman"/>
          <w:color w:val="C00000"/>
          <w:sz w:val="24"/>
          <w:szCs w:val="24"/>
        </w:rPr>
        <w:t>(Church Name</w:t>
      </w:r>
      <w:r>
        <w:rPr>
          <w:rFonts w:ascii="Times New Roman" w:eastAsia="Times New Roman" w:hAnsi="Times New Roman" w:cs="Times New Roman"/>
          <w:sz w:val="24"/>
          <w:szCs w:val="24"/>
        </w:rPr>
        <w:t>) has implemented the</w:t>
      </w:r>
      <w:r w:rsidRPr="00347E7C">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C00000"/>
          <w:sz w:val="24"/>
          <w:szCs w:val="24"/>
        </w:rPr>
        <w:t>(</w:t>
      </w:r>
      <w:r w:rsidRPr="00347E7C">
        <w:rPr>
          <w:rFonts w:ascii="Times New Roman" w:eastAsia="Times New Roman" w:hAnsi="Times New Roman" w:cs="Times New Roman"/>
          <w:color w:val="C00000"/>
          <w:sz w:val="24"/>
          <w:szCs w:val="24"/>
        </w:rPr>
        <w:t>_</w:t>
      </w:r>
      <w:r>
        <w:rPr>
          <w:rFonts w:ascii="Times New Roman" w:eastAsia="Times New Roman" w:hAnsi="Times New Roman" w:cs="Times New Roman"/>
          <w:color w:val="C00000"/>
          <w:sz w:val="24"/>
          <w:szCs w:val="24"/>
        </w:rPr>
        <w:t>___</w:t>
      </w:r>
      <w:r w:rsidR="00FC1D2D">
        <w:rPr>
          <w:rFonts w:ascii="Times New Roman" w:eastAsia="Times New Roman" w:hAnsi="Times New Roman" w:cs="Times New Roman"/>
          <w:color w:val="C00000"/>
          <w:sz w:val="24"/>
          <w:szCs w:val="24"/>
        </w:rPr>
        <w:t xml:space="preserve">Fixed-date </w:t>
      </w:r>
      <w:r w:rsidR="00652553">
        <w:rPr>
          <w:rFonts w:ascii="Times New Roman" w:eastAsia="Times New Roman" w:hAnsi="Times New Roman" w:cs="Times New Roman"/>
          <w:color w:val="C00000"/>
          <w:sz w:val="24"/>
          <w:szCs w:val="24"/>
        </w:rPr>
        <w:t>OR</w:t>
      </w:r>
      <w:r w:rsidR="00FC1D2D">
        <w:rPr>
          <w:rFonts w:ascii="Times New Roman" w:eastAsia="Times New Roman" w:hAnsi="Times New Roman" w:cs="Times New Roman"/>
          <w:color w:val="C00000"/>
          <w:sz w:val="24"/>
          <w:szCs w:val="24"/>
        </w:rPr>
        <w:t xml:space="preserve"> Periodic statement</w:t>
      </w:r>
      <w:r w:rsidR="00652553">
        <w:rPr>
          <w:rFonts w:ascii="Times New Roman" w:eastAsia="Times New Roman" w:hAnsi="Times New Roman" w:cs="Times New Roman"/>
          <w:color w:val="C00000"/>
          <w:sz w:val="24"/>
          <w:szCs w:val="24"/>
        </w:rPr>
        <w:t xml:space="preserve"> </w:t>
      </w:r>
      <w:r w:rsidRPr="00347E7C">
        <w:rPr>
          <w:rFonts w:ascii="Times New Roman" w:eastAsia="Times New Roman" w:hAnsi="Times New Roman" w:cs="Times New Roman"/>
          <w:color w:val="C00000"/>
          <w:sz w:val="24"/>
          <w:szCs w:val="24"/>
        </w:rPr>
        <w:t>__</w:t>
      </w:r>
      <w:r>
        <w:rPr>
          <w:rFonts w:ascii="Times New Roman" w:eastAsia="Times New Roman" w:hAnsi="Times New Roman" w:cs="Times New Roman"/>
          <w:color w:val="C00000"/>
          <w:sz w:val="24"/>
          <w:szCs w:val="24"/>
        </w:rPr>
        <w:t>__)</w:t>
      </w:r>
      <w:r w:rsidRPr="00347E7C">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method. </w:t>
      </w:r>
    </w:p>
    <w:p w14:paraId="35FE7ECB" w14:textId="77777777" w:rsidR="00837537" w:rsidRPr="00A045F9" w:rsidRDefault="00837537" w:rsidP="00837537">
      <w:pPr>
        <w:spacing w:before="100" w:beforeAutospacing="1" w:after="100" w:afterAutospacing="1" w:line="240" w:lineRule="auto"/>
        <w:rPr>
          <w:rFonts w:ascii="Times New Roman" w:eastAsia="Times New Roman" w:hAnsi="Times New Roman" w:cs="Times New Roman"/>
          <w:sz w:val="24"/>
          <w:szCs w:val="24"/>
        </w:rPr>
      </w:pPr>
      <w:r w:rsidRPr="00A045F9">
        <w:rPr>
          <w:rFonts w:ascii="Times New Roman" w:eastAsia="Times New Roman" w:hAnsi="Times New Roman" w:cs="Times New Roman"/>
          <w:sz w:val="24"/>
          <w:szCs w:val="24"/>
        </w:rPr>
        <w:t xml:space="preserve">In addition, </w:t>
      </w:r>
      <w:r w:rsidRPr="00F928DF">
        <w:rPr>
          <w:rFonts w:ascii="Times New Roman" w:eastAsia="Times New Roman" w:hAnsi="Times New Roman" w:cs="Times New Roman"/>
          <w:color w:val="C00000"/>
          <w:sz w:val="24"/>
          <w:szCs w:val="24"/>
        </w:rPr>
        <w:t>(Church Name)</w:t>
      </w:r>
      <w:r w:rsidRPr="00F928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w:t>
      </w:r>
      <w:r w:rsidRPr="00F928DF">
        <w:rPr>
          <w:rFonts w:ascii="Times New Roman" w:eastAsia="Times New Roman" w:hAnsi="Times New Roman" w:cs="Times New Roman"/>
          <w:sz w:val="24"/>
          <w:szCs w:val="24"/>
        </w:rPr>
        <w:t xml:space="preserve"> </w:t>
      </w:r>
      <w:r w:rsidRPr="00A045F9">
        <w:rPr>
          <w:rFonts w:ascii="Times New Roman" w:eastAsia="Times New Roman" w:hAnsi="Times New Roman" w:cs="Times New Roman"/>
          <w:sz w:val="24"/>
          <w:szCs w:val="24"/>
        </w:rPr>
        <w:t>issue a statement to an employee for business expenses that have been submitted for reimbursement but will not be reimbursed until proper substantiation is provided.</w:t>
      </w:r>
    </w:p>
    <w:p w14:paraId="7F52FCBF" w14:textId="77777777" w:rsidR="00837537" w:rsidRPr="00BA7CA3" w:rsidRDefault="00837537" w:rsidP="00837537">
      <w:pPr>
        <w:spacing w:before="100" w:beforeAutospacing="1" w:after="100" w:afterAutospacing="1" w:line="240" w:lineRule="auto"/>
        <w:rPr>
          <w:rFonts w:ascii="Times New Roman" w:eastAsia="Times New Roman" w:hAnsi="Times New Roman" w:cs="Times New Roman"/>
          <w:sz w:val="24"/>
          <w:szCs w:val="24"/>
        </w:rPr>
      </w:pPr>
      <w:r w:rsidRPr="00BA7CA3">
        <w:rPr>
          <w:rFonts w:ascii="Times New Roman" w:eastAsia="Times New Roman" w:hAnsi="Times New Roman" w:cs="Times New Roman"/>
          <w:sz w:val="24"/>
          <w:szCs w:val="24"/>
        </w:rPr>
        <w:t xml:space="preserve">IRS </w:t>
      </w:r>
      <w:hyperlink r:id="rId11" w:tgtFrame="_blank" w:history="1">
        <w:r w:rsidRPr="00F849FE">
          <w:rPr>
            <w:rFonts w:ascii="Times New Roman" w:eastAsia="Times New Roman" w:hAnsi="Times New Roman" w:cs="Times New Roman"/>
            <w:i/>
            <w:iCs/>
            <w:color w:val="0070C0"/>
            <w:sz w:val="24"/>
            <w:szCs w:val="24"/>
            <w:u w:val="single"/>
          </w:rPr>
          <w:t>Publication 463</w:t>
        </w:r>
      </w:hyperlink>
      <w:r w:rsidRPr="00BA7CA3">
        <w:rPr>
          <w:rFonts w:ascii="Times New Roman" w:eastAsia="Times New Roman" w:hAnsi="Times New Roman" w:cs="Times New Roman"/>
          <w:i/>
          <w:iCs/>
          <w:sz w:val="24"/>
          <w:szCs w:val="24"/>
        </w:rPr>
        <w:t xml:space="preserve">, </w:t>
      </w:r>
      <w:r w:rsidRPr="00BA7CA3">
        <w:rPr>
          <w:rFonts w:ascii="Times New Roman" w:eastAsia="Times New Roman" w:hAnsi="Times New Roman" w:cs="Times New Roman"/>
          <w:sz w:val="24"/>
          <w:szCs w:val="24"/>
        </w:rPr>
        <w:t xml:space="preserve"> provides detailed information on how employees can prove expenses. Proof of an expense includes the following three items:</w:t>
      </w:r>
    </w:p>
    <w:p w14:paraId="2DB724C6" w14:textId="77777777" w:rsidR="00837537" w:rsidRPr="00BA7CA3" w:rsidRDefault="00837537" w:rsidP="008375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7CA3">
        <w:rPr>
          <w:rFonts w:ascii="Times New Roman" w:eastAsia="Times New Roman" w:hAnsi="Times New Roman" w:cs="Times New Roman"/>
          <w:sz w:val="24"/>
          <w:szCs w:val="24"/>
        </w:rPr>
        <w:t>Adequate records</w:t>
      </w:r>
    </w:p>
    <w:p w14:paraId="660A7D4B" w14:textId="77777777" w:rsidR="00837537" w:rsidRPr="00BA7CA3" w:rsidRDefault="00837537" w:rsidP="008375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7CA3">
        <w:rPr>
          <w:rFonts w:ascii="Times New Roman" w:eastAsia="Times New Roman" w:hAnsi="Times New Roman" w:cs="Times New Roman"/>
          <w:sz w:val="24"/>
          <w:szCs w:val="24"/>
        </w:rPr>
        <w:t>Sufficient evidence</w:t>
      </w:r>
    </w:p>
    <w:p w14:paraId="3B759D62" w14:textId="77777777" w:rsidR="00837537" w:rsidRPr="00BA7CA3" w:rsidRDefault="00837537" w:rsidP="008375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7CA3">
        <w:rPr>
          <w:rFonts w:ascii="Times New Roman" w:eastAsia="Times New Roman" w:hAnsi="Times New Roman" w:cs="Times New Roman"/>
          <w:sz w:val="24"/>
          <w:szCs w:val="24"/>
        </w:rPr>
        <w:t>Written record</w:t>
      </w:r>
    </w:p>
    <w:p w14:paraId="2A238B19" w14:textId="77777777" w:rsidR="00837537" w:rsidRPr="00BA7CA3" w:rsidRDefault="00837537" w:rsidP="00837537">
      <w:pPr>
        <w:spacing w:before="100" w:beforeAutospacing="1" w:after="100" w:afterAutospacing="1" w:line="240" w:lineRule="auto"/>
        <w:rPr>
          <w:rFonts w:ascii="Times New Roman" w:eastAsia="Times New Roman" w:hAnsi="Times New Roman" w:cs="Times New Roman"/>
          <w:sz w:val="24"/>
          <w:szCs w:val="24"/>
        </w:rPr>
      </w:pPr>
      <w:r w:rsidRPr="00BA7CA3">
        <w:rPr>
          <w:rFonts w:ascii="Times New Roman" w:eastAsia="Times New Roman" w:hAnsi="Times New Roman" w:cs="Times New Roman"/>
          <w:sz w:val="24"/>
          <w:szCs w:val="24"/>
        </w:rPr>
        <w:t xml:space="preserve">Adequate records are defined by </w:t>
      </w:r>
      <w:r w:rsidRPr="004D279D">
        <w:rPr>
          <w:rFonts w:ascii="Times New Roman" w:eastAsia="Times New Roman" w:hAnsi="Times New Roman" w:cs="Times New Roman"/>
          <w:i/>
          <w:iCs/>
          <w:color w:val="0070C0"/>
          <w:sz w:val="24"/>
          <w:szCs w:val="24"/>
        </w:rPr>
        <w:t>Publication 463</w:t>
      </w:r>
      <w:r w:rsidRPr="004D279D">
        <w:rPr>
          <w:rFonts w:ascii="Times New Roman" w:eastAsia="Times New Roman" w:hAnsi="Times New Roman" w:cs="Times New Roman"/>
          <w:color w:val="0070C0"/>
          <w:sz w:val="24"/>
          <w:szCs w:val="24"/>
        </w:rPr>
        <w:t xml:space="preserve"> </w:t>
      </w:r>
      <w:r w:rsidRPr="00BA7CA3">
        <w:rPr>
          <w:rFonts w:ascii="Times New Roman" w:eastAsia="Times New Roman" w:hAnsi="Times New Roman" w:cs="Times New Roman"/>
          <w:sz w:val="24"/>
          <w:szCs w:val="24"/>
        </w:rPr>
        <w:t>on page 25: “You should keep the proof you need in an account book, diary, log, statement of expense, trip sheets, or similar record. You should also keep documentary evidence that, together with your record, will support each element of an expense.”</w:t>
      </w:r>
    </w:p>
    <w:p w14:paraId="309C1766" w14:textId="77777777" w:rsidR="00837537" w:rsidRPr="002B48C7" w:rsidRDefault="00837537" w:rsidP="00837537">
      <w:pPr>
        <w:rPr>
          <w:rFonts w:ascii="Times New Roman" w:hAnsi="Times New Roman" w:cs="Times New Roman"/>
          <w:b/>
          <w:bCs/>
          <w:sz w:val="24"/>
          <w:szCs w:val="24"/>
        </w:rPr>
      </w:pPr>
      <w:r w:rsidRPr="002B48C7">
        <w:rPr>
          <w:rFonts w:ascii="Times New Roman" w:hAnsi="Times New Roman" w:cs="Times New Roman"/>
          <w:sz w:val="24"/>
          <w:szCs w:val="24"/>
        </w:rPr>
        <w:t>The best sufficient evidence is documentary evidence that supports the employee's expenses. This may include receipts, canceled checks, or bills. Documentary evidence, however, is deemed adequate only if it shows the amount, date, place, and essential character of the expense.</w:t>
      </w:r>
      <w:r w:rsidRPr="002B48C7">
        <w:rPr>
          <w:rFonts w:ascii="Times New Roman" w:hAnsi="Times New Roman" w:cs="Times New Roman"/>
          <w:b/>
          <w:bCs/>
          <w:sz w:val="24"/>
          <w:szCs w:val="24"/>
        </w:rPr>
        <w:t xml:space="preserve"> Bank Statements and</w:t>
      </w:r>
      <w:r>
        <w:rPr>
          <w:rFonts w:ascii="Times New Roman" w:hAnsi="Times New Roman" w:cs="Times New Roman"/>
          <w:b/>
          <w:bCs/>
          <w:sz w:val="24"/>
          <w:szCs w:val="24"/>
        </w:rPr>
        <w:t>/or</w:t>
      </w:r>
      <w:r w:rsidRPr="002B48C7">
        <w:rPr>
          <w:rFonts w:ascii="Times New Roman" w:hAnsi="Times New Roman" w:cs="Times New Roman"/>
          <w:b/>
          <w:bCs/>
          <w:sz w:val="24"/>
          <w:szCs w:val="24"/>
        </w:rPr>
        <w:t xml:space="preserve"> Credit Card Statements are not acceptable documentary evidence. </w:t>
      </w:r>
    </w:p>
    <w:p w14:paraId="6F3A6B4F" w14:textId="77777777" w:rsidR="00837537" w:rsidRPr="002B48C7" w:rsidRDefault="00837537" w:rsidP="00837537">
      <w:pPr>
        <w:pStyle w:val="NormalWeb"/>
        <w:rPr>
          <w:color w:val="C00000"/>
        </w:rPr>
      </w:pPr>
      <w:r w:rsidRPr="002B48C7">
        <w:lastRenderedPageBreak/>
        <w:t>In most cases, the IRS requires documentary evidence for expenses only if the expense is greater than $75. However, there are exceptions, especially lodging expenses. Since lodging bills may contain other expenses in addition to room charges (such as meals, telephone calls, laundry, Internet access, and video rentals), a hotel or motel must provide an itemized bill.</w:t>
      </w:r>
      <w:r w:rsidRPr="002B48C7">
        <w:rPr>
          <w:b/>
          <w:bCs/>
        </w:rPr>
        <w:t xml:space="preserve"> Personal</w:t>
      </w:r>
      <w:r w:rsidRPr="002B48C7">
        <w:t xml:space="preserve"> </w:t>
      </w:r>
      <w:r w:rsidRPr="002B48C7">
        <w:rPr>
          <w:b/>
          <w:bCs/>
        </w:rPr>
        <w:t xml:space="preserve">expenses (such as video rentals) </w:t>
      </w:r>
      <w:r>
        <w:rPr>
          <w:b/>
          <w:bCs/>
        </w:rPr>
        <w:t xml:space="preserve">should </w:t>
      </w:r>
      <w:r w:rsidRPr="002B48C7">
        <w:rPr>
          <w:b/>
          <w:bCs/>
        </w:rPr>
        <w:t>not be included or reimbursed.</w:t>
      </w:r>
    </w:p>
    <w:p w14:paraId="2F33ABF0" w14:textId="77777777" w:rsidR="00837537" w:rsidRPr="002B48C7" w:rsidRDefault="00837537" w:rsidP="00837537">
      <w:pPr>
        <w:pStyle w:val="NormalWeb"/>
      </w:pPr>
      <w:r w:rsidRPr="002B48C7">
        <w:t>When</w:t>
      </w:r>
      <w:r w:rsidRPr="002B48C7">
        <w:rPr>
          <w:color w:val="C00000"/>
        </w:rPr>
        <w:t xml:space="preserve"> (Church Name) </w:t>
      </w:r>
      <w:r w:rsidRPr="002B48C7">
        <w:t xml:space="preserve">reimburses an employee </w:t>
      </w:r>
      <w:r>
        <w:t xml:space="preserve">or individual </w:t>
      </w:r>
      <w:r w:rsidRPr="002B48C7">
        <w:t>pursuant to an accountable plan, the reimbursement will not be considered as wages or income to the employee</w:t>
      </w:r>
      <w:r>
        <w:t xml:space="preserve"> or individual</w:t>
      </w:r>
      <w:r w:rsidRPr="002B48C7">
        <w:t xml:space="preserve">. </w:t>
      </w:r>
    </w:p>
    <w:p w14:paraId="6C57E1F0" w14:textId="77777777" w:rsidR="00837537" w:rsidRPr="002B48C7" w:rsidRDefault="00837537" w:rsidP="00837537">
      <w:pPr>
        <w:pStyle w:val="NormalWeb"/>
      </w:pPr>
      <w:r w:rsidRPr="002B48C7">
        <w:t xml:space="preserve">IRS </w:t>
      </w:r>
      <w:hyperlink r:id="rId12" w:tgtFrame="_blank" w:history="1">
        <w:r w:rsidRPr="002B48C7">
          <w:rPr>
            <w:rStyle w:val="Hyperlink"/>
            <w:i/>
            <w:iCs/>
          </w:rPr>
          <w:t>Publication 535</w:t>
        </w:r>
      </w:hyperlink>
      <w:r w:rsidRPr="002B48C7">
        <w:rPr>
          <w:rStyle w:val="Emphasis"/>
        </w:rPr>
        <w:t>, Business Expenses</w:t>
      </w:r>
      <w:r w:rsidRPr="002B48C7">
        <w:t xml:space="preserve">, states the following: “To be deductible, a business expense must be </w:t>
      </w:r>
      <w:r w:rsidRPr="004C569F">
        <w:rPr>
          <w:b/>
          <w:bCs/>
        </w:rPr>
        <w:t>both</w:t>
      </w:r>
      <w:r w:rsidRPr="002B48C7">
        <w:t xml:space="preserve"> </w:t>
      </w:r>
      <w:r w:rsidRPr="004C569F">
        <w:rPr>
          <w:b/>
          <w:bCs/>
        </w:rPr>
        <w:t>ordinary and necessary</w:t>
      </w:r>
      <w:r w:rsidRPr="002B48C7">
        <w:t xml:space="preserve">. An ordinary expense is one that is common and accepted in </w:t>
      </w:r>
      <w:r>
        <w:t xml:space="preserve">the </w:t>
      </w:r>
      <w:r w:rsidRPr="002B48C7">
        <w:t>industry. A necessary expense is one that is helpful and appropriate for your trade or business. An expense does not have to be indispensable to be considered necessary.”</w:t>
      </w:r>
    </w:p>
    <w:p w14:paraId="0283A688" w14:textId="77777777" w:rsidR="00837537" w:rsidRDefault="00837537" w:rsidP="00837537">
      <w:pPr>
        <w:pStyle w:val="NormalWeb"/>
      </w:pPr>
      <w:r>
        <w:t>What are some examples of ordinary and necessary expenses that would require employer reimbursement? The most common are work-related supplies, travel, meals, and entertainment.</w:t>
      </w:r>
    </w:p>
    <w:p w14:paraId="0F986A14" w14:textId="77777777" w:rsidR="00837537" w:rsidRPr="00D03490" w:rsidRDefault="00837537" w:rsidP="00837537">
      <w:pPr>
        <w:rPr>
          <w:rFonts w:ascii="Times New Roman" w:hAnsi="Times New Roman" w:cs="Times New Roman"/>
          <w:sz w:val="24"/>
          <w:szCs w:val="24"/>
        </w:rPr>
      </w:pPr>
      <w:r w:rsidRPr="00D03490">
        <w:rPr>
          <w:rFonts w:ascii="Times New Roman" w:hAnsi="Times New Roman" w:cs="Times New Roman"/>
          <w:sz w:val="24"/>
          <w:szCs w:val="24"/>
        </w:rPr>
        <w:t xml:space="preserve">Supplies that an employee purchases for business purposes can be reimbursed at cost, </w:t>
      </w:r>
      <w:proofErr w:type="gramStart"/>
      <w:r w:rsidRPr="00D03490">
        <w:rPr>
          <w:rFonts w:ascii="Times New Roman" w:hAnsi="Times New Roman" w:cs="Times New Roman"/>
          <w:sz w:val="24"/>
          <w:szCs w:val="24"/>
        </w:rPr>
        <w:t>provided that</w:t>
      </w:r>
      <w:proofErr w:type="gramEnd"/>
      <w:r w:rsidRPr="00D03490">
        <w:rPr>
          <w:rFonts w:ascii="Times New Roman" w:hAnsi="Times New Roman" w:cs="Times New Roman"/>
          <w:sz w:val="24"/>
          <w:szCs w:val="24"/>
        </w:rPr>
        <w:t xml:space="preserve"> they are reimbursed pursuant to an accountable plan.</w:t>
      </w:r>
    </w:p>
    <w:p w14:paraId="652A3D5C" w14:textId="77777777" w:rsidR="00837537" w:rsidRPr="00D03490" w:rsidRDefault="00837537" w:rsidP="00837537">
      <w:pPr>
        <w:pStyle w:val="NormalWeb"/>
      </w:pPr>
      <w:r w:rsidRPr="00D03490">
        <w:t xml:space="preserve">The cost of work-related travel, including transportation, lodging, meals, and entertainment that meet the criteria outlined in IRS </w:t>
      </w:r>
      <w:hyperlink r:id="rId13" w:tgtFrame="_blank" w:history="1">
        <w:r w:rsidRPr="00D03490">
          <w:rPr>
            <w:rStyle w:val="Hyperlink"/>
            <w:i/>
            <w:iCs/>
          </w:rPr>
          <w:t>Publication 463</w:t>
        </w:r>
      </w:hyperlink>
      <w:r w:rsidRPr="00D03490">
        <w:rPr>
          <w:rStyle w:val="Emphasis"/>
        </w:rPr>
        <w:t>, Travel, Entertainment, Gift, and Car Expenses</w:t>
      </w:r>
      <w:r w:rsidRPr="00D03490">
        <w:t xml:space="preserve"> are generally reimbursable expenses.</w:t>
      </w:r>
    </w:p>
    <w:p w14:paraId="2080D6D4" w14:textId="49420CB2" w:rsidR="00837537" w:rsidRPr="00837537" w:rsidRDefault="00837537" w:rsidP="00837537">
      <w:pPr>
        <w:pStyle w:val="NormalWeb"/>
        <w:rPr>
          <w:color w:val="FF0000"/>
        </w:rPr>
      </w:pPr>
      <w:r w:rsidRPr="00D03490">
        <w:t xml:space="preserve">Many employers will reimburse an employee </w:t>
      </w:r>
      <w:r>
        <w:t xml:space="preserve">or individual </w:t>
      </w:r>
      <w:r w:rsidRPr="00D03490">
        <w:t xml:space="preserve">who uses their personal vehicle for business at a standard mileage rate. Generally, this will not include commuting expenses between an employee’s home and workplace. The </w:t>
      </w:r>
      <w:hyperlink r:id="rId14" w:tgtFrame="blank" w:history="1">
        <w:r w:rsidRPr="009020D0">
          <w:rPr>
            <w:rStyle w:val="Hyperlink"/>
          </w:rPr>
          <w:t>standard mileage rate</w:t>
        </w:r>
      </w:hyperlink>
      <w:r w:rsidRPr="009020D0">
        <w:t xml:space="preserve"> is </w:t>
      </w:r>
      <w:r w:rsidRPr="00D03490">
        <w:t>set by the IRS each year</w:t>
      </w:r>
      <w:r>
        <w:t xml:space="preserve"> (January 1</w:t>
      </w:r>
      <w:r w:rsidRPr="00201269">
        <w:rPr>
          <w:vertAlign w:val="superscript"/>
        </w:rPr>
        <w:t>st</w:t>
      </w:r>
      <w:r>
        <w:t xml:space="preserve"> and July 1</w:t>
      </w:r>
      <w:r w:rsidRPr="00201269">
        <w:rPr>
          <w:vertAlign w:val="superscript"/>
        </w:rPr>
        <w:t>st</w:t>
      </w:r>
      <w:r>
        <w:t>)</w:t>
      </w:r>
      <w:r w:rsidRPr="00D03490">
        <w:t xml:space="preserve">. (The standard federal mileage rate for business </w:t>
      </w:r>
      <w:r>
        <w:t>as of “</w:t>
      </w:r>
      <w:r w:rsidRPr="00837537">
        <w:rPr>
          <w:color w:val="FF0000"/>
        </w:rPr>
        <w:t xml:space="preserve">January 1, </w:t>
      </w:r>
      <w:proofErr w:type="gramStart"/>
      <w:r w:rsidRPr="00837537">
        <w:rPr>
          <w:color w:val="FF0000"/>
        </w:rPr>
        <w:t>202</w:t>
      </w:r>
      <w:r w:rsidR="001E691F">
        <w:rPr>
          <w:color w:val="FF0000"/>
        </w:rPr>
        <w:t>1</w:t>
      </w:r>
      <w:proofErr w:type="gramEnd"/>
      <w:r w:rsidRPr="00837537">
        <w:rPr>
          <w:color w:val="FF0000"/>
        </w:rPr>
        <w:t xml:space="preserve"> is 5</w:t>
      </w:r>
      <w:r w:rsidR="001E691F">
        <w:rPr>
          <w:color w:val="FF0000"/>
        </w:rPr>
        <w:t>6</w:t>
      </w:r>
      <w:r w:rsidRPr="00837537">
        <w:rPr>
          <w:color w:val="FF0000"/>
        </w:rPr>
        <w:t xml:space="preserve"> cents per mile.</w:t>
      </w:r>
      <w:r>
        <w:rPr>
          <w:color w:val="FF0000"/>
        </w:rPr>
        <w:t>”</w:t>
      </w:r>
      <w:r w:rsidRPr="00837537">
        <w:t>)</w:t>
      </w:r>
    </w:p>
    <w:p w14:paraId="09BE45C8" w14:textId="77777777" w:rsidR="00837537" w:rsidRPr="00D03490" w:rsidRDefault="00837537" w:rsidP="00837537">
      <w:pPr>
        <w:pStyle w:val="NormalWeb"/>
      </w:pPr>
      <w:r w:rsidRPr="00D03490">
        <w:t xml:space="preserve">Meal and entertainment costs incurred </w:t>
      </w:r>
      <w:r>
        <w:t xml:space="preserve">by </w:t>
      </w:r>
      <w:r w:rsidRPr="00D03490">
        <w:t>the employee</w:t>
      </w:r>
      <w:r>
        <w:t xml:space="preserve"> </w:t>
      </w:r>
      <w:r w:rsidRPr="00D03490">
        <w:t>are</w:t>
      </w:r>
      <w:r>
        <w:t xml:space="preserve"> a</w:t>
      </w:r>
      <w:r w:rsidRPr="00D03490">
        <w:t xml:space="preserve"> reimbursable expense only if the meal or entertainment can be shown to have a </w:t>
      </w:r>
      <w:r w:rsidRPr="00837E0D">
        <w:rPr>
          <w:b/>
          <w:bCs/>
        </w:rPr>
        <w:t xml:space="preserve">clear </w:t>
      </w:r>
      <w:r w:rsidRPr="00D03490">
        <w:t>business purpose.</w:t>
      </w:r>
    </w:p>
    <w:p w14:paraId="6387B710" w14:textId="77777777" w:rsidR="00837537" w:rsidRPr="00D03490" w:rsidRDefault="00837537" w:rsidP="00837537">
      <w:pPr>
        <w:pStyle w:val="NormalWeb"/>
      </w:pPr>
      <w:proofErr w:type="gramStart"/>
      <w:r w:rsidRPr="00D03490">
        <w:t>In order to</w:t>
      </w:r>
      <w:proofErr w:type="gramEnd"/>
      <w:r w:rsidRPr="00D03490">
        <w:t xml:space="preserve"> reimburse employees for expenses, it</w:t>
      </w:r>
      <w:r>
        <w:t xml:space="preserve"> is</w:t>
      </w:r>
      <w:r w:rsidRPr="00D03490">
        <w:t xml:space="preserve"> vital for an employer to have an accountable plan.</w:t>
      </w:r>
    </w:p>
    <w:p w14:paraId="6886BD7F" w14:textId="77777777" w:rsidR="00837537" w:rsidRPr="00D03490" w:rsidRDefault="00837537" w:rsidP="00837537">
      <w:pPr>
        <w:pStyle w:val="NormalWeb"/>
      </w:pPr>
      <w:r w:rsidRPr="00D03490">
        <w:t xml:space="preserve">If an employer does not have an accountable plan in place, then IRS </w:t>
      </w:r>
      <w:r w:rsidRPr="00802718">
        <w:rPr>
          <w:i/>
          <w:iCs/>
          <w:color w:val="0070C0"/>
          <w:u w:val="single"/>
        </w:rPr>
        <w:t>Publication 15</w:t>
      </w:r>
      <w:r w:rsidRPr="00802718">
        <w:rPr>
          <w:color w:val="0070C0"/>
        </w:rPr>
        <w:t xml:space="preserve"> </w:t>
      </w:r>
      <w:r w:rsidRPr="00D03490">
        <w:t>states: “Payments to your employee for travel and other necessary expenses of your business under a nonaccountable plan are wages and are treated as supplemental wages and subject to the withholding and payment of income, social security, Medicare, and FUTA taxes.”</w:t>
      </w:r>
    </w:p>
    <w:p w14:paraId="1420A56E" w14:textId="77777777" w:rsidR="00837537" w:rsidRPr="00D03490" w:rsidRDefault="00837537" w:rsidP="00837537">
      <w:pPr>
        <w:pStyle w:val="NormalWeb"/>
      </w:pPr>
      <w:r>
        <w:t>E</w:t>
      </w:r>
      <w:r w:rsidRPr="00D03490">
        <w:t xml:space="preserve">ven if the expenses are ordinary and necessary, if the employer does not have an accountable plan, then any reimbursements are taxable income. </w:t>
      </w:r>
    </w:p>
    <w:p w14:paraId="43771CD7" w14:textId="77777777" w:rsidR="00837537" w:rsidRPr="00D03490" w:rsidRDefault="00837537" w:rsidP="00837537">
      <w:pPr>
        <w:pStyle w:val="NormalWeb"/>
      </w:pPr>
      <w:r>
        <w:lastRenderedPageBreak/>
        <w:t>I</w:t>
      </w:r>
      <w:r w:rsidRPr="00D03490">
        <w:t>f the employer has an accountable plan, but the employee fails to properly substantiate the expenses within a reasonable time, or the employee fails to return excess advance payments, then any reimbursements could become taxable income.</w:t>
      </w:r>
    </w:p>
    <w:p w14:paraId="4B9A4091" w14:textId="77777777" w:rsidR="00837537" w:rsidRPr="00D03490" w:rsidRDefault="00837537" w:rsidP="00837537">
      <w:pPr>
        <w:pStyle w:val="NormalWeb"/>
      </w:pPr>
      <w:r w:rsidRPr="00D03490">
        <w:t xml:space="preserve">If any expenses are paid </w:t>
      </w:r>
      <w:proofErr w:type="gramStart"/>
      <w:r w:rsidRPr="00D03490">
        <w:t>in excess of</w:t>
      </w:r>
      <w:proofErr w:type="gramEnd"/>
      <w:r w:rsidRPr="00D03490">
        <w:t xml:space="preserve"> IRS limitations, then the excess is taxable income. For example, if an employer reimburses an employee for mileage at more than the standard mileage rate, then the excess is taxable income.</w:t>
      </w:r>
    </w:p>
    <w:p w14:paraId="77ABDA0E" w14:textId="77777777" w:rsidR="00837537" w:rsidRPr="00D03490" w:rsidRDefault="00837537" w:rsidP="00837537">
      <w:pPr>
        <w:pStyle w:val="NormalWeb"/>
      </w:pPr>
      <w:r w:rsidRPr="00D03490">
        <w:t>If the employer establishes a written accountable plan, and the employee submit</w:t>
      </w:r>
      <w:r>
        <w:t>s</w:t>
      </w:r>
      <w:r w:rsidRPr="00D03490">
        <w:t xml:space="preserve"> properly documented expenses under that plan, then the reimbursements should</w:t>
      </w:r>
      <w:r>
        <w:t xml:space="preserve"> not be</w:t>
      </w:r>
      <w:r w:rsidRPr="00D03490">
        <w:t xml:space="preserve"> taxable income.</w:t>
      </w:r>
    </w:p>
    <w:p w14:paraId="16D9540F" w14:textId="77777777" w:rsidR="00837537" w:rsidRDefault="00837537" w:rsidP="00837537">
      <w:pPr>
        <w:pStyle w:val="NormalWeb"/>
      </w:pPr>
      <w:r>
        <w:t xml:space="preserve"> Engaging </w:t>
      </w:r>
      <w:r w:rsidRPr="00D03490">
        <w:t xml:space="preserve">a business accountant and referring to employment counsel </w:t>
      </w:r>
      <w:r>
        <w:t>will help</w:t>
      </w:r>
      <w:r w:rsidRPr="00D03490">
        <w:t xml:space="preserve"> ensure </w:t>
      </w:r>
      <w:r>
        <w:t xml:space="preserve">that </w:t>
      </w:r>
      <w:r w:rsidRPr="00A52B70">
        <w:rPr>
          <w:color w:val="C00000"/>
        </w:rPr>
        <w:t xml:space="preserve">(Church Name) </w:t>
      </w:r>
      <w:r>
        <w:t xml:space="preserve">are </w:t>
      </w:r>
      <w:r w:rsidRPr="00D03490">
        <w:t xml:space="preserve">deducting and reporting the </w:t>
      </w:r>
      <w:r>
        <w:t>correct amounts</w:t>
      </w:r>
      <w:r w:rsidRPr="00D03490">
        <w:t>.</w:t>
      </w:r>
    </w:p>
    <w:p w14:paraId="2A7A786D" w14:textId="77777777" w:rsidR="00837537" w:rsidRDefault="00837537" w:rsidP="00837537">
      <w:pPr>
        <w:pStyle w:val="NormalWeb"/>
      </w:pPr>
    </w:p>
    <w:p w14:paraId="376AB12F" w14:textId="77777777" w:rsidR="00837537" w:rsidRDefault="00837537" w:rsidP="00837537">
      <w:pPr>
        <w:pStyle w:val="NormalWeb"/>
        <w:rPr>
          <w:color w:val="C00000"/>
        </w:rPr>
      </w:pPr>
      <w:r>
        <w:t xml:space="preserve">I have read and will conform to Expense Reimbursement Policy of </w:t>
      </w:r>
      <w:r w:rsidRPr="00C1089E">
        <w:rPr>
          <w:color w:val="C00000"/>
        </w:rPr>
        <w:t>(Church Name).</w:t>
      </w:r>
    </w:p>
    <w:p w14:paraId="131C2BC6" w14:textId="77777777" w:rsidR="00837537" w:rsidRDefault="00837537" w:rsidP="00837537">
      <w:pPr>
        <w:pStyle w:val="NormalWeb"/>
      </w:pPr>
    </w:p>
    <w:p w14:paraId="3AC7FA49" w14:textId="77777777" w:rsidR="00837537" w:rsidRDefault="00837537" w:rsidP="00837537">
      <w:pPr>
        <w:pStyle w:val="NormalWeb"/>
      </w:pPr>
      <w:r>
        <w:t>Print Name: __________________________________________</w:t>
      </w:r>
    </w:p>
    <w:p w14:paraId="24D99491" w14:textId="77777777" w:rsidR="00837537" w:rsidRDefault="00837537" w:rsidP="00837537">
      <w:pPr>
        <w:pStyle w:val="NormalWeb"/>
      </w:pPr>
    </w:p>
    <w:p w14:paraId="4A25548B" w14:textId="7FD1D886" w:rsidR="00837537" w:rsidRPr="00C1089E" w:rsidRDefault="00837537" w:rsidP="00837537">
      <w:pPr>
        <w:pStyle w:val="NormalWeb"/>
      </w:pPr>
      <w:r>
        <w:t>Signature: _____________________________________________           Date: _____________</w:t>
      </w:r>
    </w:p>
    <w:p w14:paraId="11659F73" w14:textId="74BEC1E8" w:rsidR="00837537" w:rsidRDefault="00837537"/>
    <w:p w14:paraId="5521D173" w14:textId="0D6CFF79" w:rsidR="00636F1F" w:rsidRDefault="00636F1F"/>
    <w:p w14:paraId="29917E81" w14:textId="4DAEE185" w:rsidR="00636F1F" w:rsidRDefault="00636F1F"/>
    <w:p w14:paraId="490E902B" w14:textId="4EBDAE31" w:rsidR="00636F1F" w:rsidRDefault="00636F1F"/>
    <w:p w14:paraId="5DD06F35" w14:textId="20472331" w:rsidR="00636F1F" w:rsidRDefault="00636F1F"/>
    <w:p w14:paraId="641DC798" w14:textId="657F0648" w:rsidR="00636F1F" w:rsidRDefault="00636F1F"/>
    <w:p w14:paraId="5520DFDB" w14:textId="6938BD62" w:rsidR="00636F1F" w:rsidRDefault="00636F1F"/>
    <w:p w14:paraId="40C636DD" w14:textId="0F338318" w:rsidR="00636F1F" w:rsidRDefault="00636F1F"/>
    <w:p w14:paraId="4638FC25" w14:textId="132DFBC6" w:rsidR="00636F1F" w:rsidRDefault="00636F1F"/>
    <w:p w14:paraId="662096B8" w14:textId="0B430F1A" w:rsidR="00636F1F" w:rsidRDefault="00636F1F"/>
    <w:p w14:paraId="26A70E65" w14:textId="71E00A23" w:rsidR="00636F1F" w:rsidRDefault="00636F1F"/>
    <w:p w14:paraId="3AF1CB90" w14:textId="691B2E0C" w:rsidR="00636F1F" w:rsidRDefault="00636F1F"/>
    <w:p w14:paraId="782A9B16" w14:textId="43DF97E0" w:rsidR="00636F1F" w:rsidRDefault="00636F1F"/>
    <w:sectPr w:rsidR="00636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5C9A" w14:textId="77777777" w:rsidR="004F327D" w:rsidRDefault="004F327D" w:rsidP="00636F1F">
      <w:pPr>
        <w:spacing w:after="0" w:line="240" w:lineRule="auto"/>
      </w:pPr>
      <w:r>
        <w:separator/>
      </w:r>
    </w:p>
  </w:endnote>
  <w:endnote w:type="continuationSeparator" w:id="0">
    <w:p w14:paraId="2E820CDD" w14:textId="77777777" w:rsidR="004F327D" w:rsidRDefault="004F327D" w:rsidP="0063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23BB" w14:textId="77777777" w:rsidR="004F327D" w:rsidRDefault="004F327D" w:rsidP="00636F1F">
      <w:pPr>
        <w:spacing w:after="0" w:line="240" w:lineRule="auto"/>
      </w:pPr>
      <w:r>
        <w:separator/>
      </w:r>
    </w:p>
  </w:footnote>
  <w:footnote w:type="continuationSeparator" w:id="0">
    <w:p w14:paraId="75E23AC4" w14:textId="77777777" w:rsidR="004F327D" w:rsidRDefault="004F327D" w:rsidP="00636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73CB"/>
    <w:multiLevelType w:val="hybridMultilevel"/>
    <w:tmpl w:val="01882D76"/>
    <w:lvl w:ilvl="0" w:tplc="71648852">
      <w:start w:val="1"/>
      <w:numFmt w:val="decimal"/>
      <w:lvlText w:val="%1."/>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C07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D8B9F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3898A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29D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D0CF5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C471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625D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82EEB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8914CC"/>
    <w:multiLevelType w:val="multilevel"/>
    <w:tmpl w:val="3ACA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15BB6"/>
    <w:multiLevelType w:val="multilevel"/>
    <w:tmpl w:val="3372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63F8F"/>
    <w:multiLevelType w:val="multilevel"/>
    <w:tmpl w:val="4ABA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3C1742"/>
    <w:multiLevelType w:val="multilevel"/>
    <w:tmpl w:val="0E342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D7298"/>
    <w:multiLevelType w:val="hybridMultilevel"/>
    <w:tmpl w:val="F266E170"/>
    <w:lvl w:ilvl="0" w:tplc="12D27080">
      <w:start w:val="1"/>
      <w:numFmt w:val="bullet"/>
      <w:lvlText w:val=""/>
      <w:lvlJc w:val="left"/>
      <w:pPr>
        <w:ind w:left="53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4F2483B2">
      <w:start w:val="1"/>
      <w:numFmt w:val="bullet"/>
      <w:lvlText w:val="o"/>
      <w:lvlJc w:val="left"/>
      <w:pPr>
        <w:ind w:left="126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ABB6CEB8">
      <w:start w:val="1"/>
      <w:numFmt w:val="bullet"/>
      <w:lvlText w:val="▪"/>
      <w:lvlJc w:val="left"/>
      <w:pPr>
        <w:ind w:left="198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ED27550">
      <w:start w:val="1"/>
      <w:numFmt w:val="bullet"/>
      <w:lvlText w:val="•"/>
      <w:lvlJc w:val="left"/>
      <w:pPr>
        <w:ind w:left="270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F4B4242E">
      <w:start w:val="1"/>
      <w:numFmt w:val="bullet"/>
      <w:lvlText w:val="o"/>
      <w:lvlJc w:val="left"/>
      <w:pPr>
        <w:ind w:left="342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5CE05004">
      <w:start w:val="1"/>
      <w:numFmt w:val="bullet"/>
      <w:lvlText w:val="▪"/>
      <w:lvlJc w:val="left"/>
      <w:pPr>
        <w:ind w:left="414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061A6150">
      <w:start w:val="1"/>
      <w:numFmt w:val="bullet"/>
      <w:lvlText w:val="•"/>
      <w:lvlJc w:val="left"/>
      <w:pPr>
        <w:ind w:left="486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AB069642">
      <w:start w:val="1"/>
      <w:numFmt w:val="bullet"/>
      <w:lvlText w:val="o"/>
      <w:lvlJc w:val="left"/>
      <w:pPr>
        <w:ind w:left="558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0BB8F1D2">
      <w:start w:val="1"/>
      <w:numFmt w:val="bullet"/>
      <w:lvlText w:val="▪"/>
      <w:lvlJc w:val="left"/>
      <w:pPr>
        <w:ind w:left="630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755A4ADB"/>
    <w:multiLevelType w:val="multilevel"/>
    <w:tmpl w:val="D7F2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D2714"/>
    <w:multiLevelType w:val="multilevel"/>
    <w:tmpl w:val="D160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37"/>
    <w:rsid w:val="000C2B0B"/>
    <w:rsid w:val="00164B75"/>
    <w:rsid w:val="001E691F"/>
    <w:rsid w:val="004F327D"/>
    <w:rsid w:val="00636F1F"/>
    <w:rsid w:val="00652553"/>
    <w:rsid w:val="00654AC0"/>
    <w:rsid w:val="00764EF8"/>
    <w:rsid w:val="007E75AC"/>
    <w:rsid w:val="0081728E"/>
    <w:rsid w:val="00837537"/>
    <w:rsid w:val="009C5E5C"/>
    <w:rsid w:val="00D5522B"/>
    <w:rsid w:val="00DB1826"/>
    <w:rsid w:val="00FC1D2D"/>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5EA5"/>
  <w15:chartTrackingRefBased/>
  <w15:docId w15:val="{041F530E-01ED-4665-ADBE-40845ADF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5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7537"/>
    <w:rPr>
      <w:i/>
      <w:iCs/>
    </w:rPr>
  </w:style>
  <w:style w:type="character" w:styleId="Hyperlink">
    <w:name w:val="Hyperlink"/>
    <w:basedOn w:val="DefaultParagraphFont"/>
    <w:uiPriority w:val="99"/>
    <w:semiHidden/>
    <w:unhideWhenUsed/>
    <w:rsid w:val="00837537"/>
    <w:rPr>
      <w:color w:val="0000FF"/>
      <w:u w:val="single"/>
    </w:rPr>
  </w:style>
  <w:style w:type="paragraph" w:styleId="ListParagraph">
    <w:name w:val="List Paragraph"/>
    <w:basedOn w:val="Normal"/>
    <w:uiPriority w:val="34"/>
    <w:qFormat/>
    <w:rsid w:val="00636F1F"/>
    <w:pPr>
      <w:ind w:left="720"/>
      <w:contextualSpacing/>
    </w:pPr>
  </w:style>
  <w:style w:type="paragraph" w:styleId="Header">
    <w:name w:val="header"/>
    <w:basedOn w:val="Normal"/>
    <w:link w:val="HeaderChar"/>
    <w:uiPriority w:val="99"/>
    <w:unhideWhenUsed/>
    <w:rsid w:val="0063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1F"/>
  </w:style>
  <w:style w:type="paragraph" w:styleId="Footer">
    <w:name w:val="footer"/>
    <w:basedOn w:val="Normal"/>
    <w:link w:val="FooterChar"/>
    <w:uiPriority w:val="99"/>
    <w:unhideWhenUsed/>
    <w:rsid w:val="0063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p15.pdf" TargetMode="External"/><Relationship Id="rId13" Type="http://schemas.openxmlformats.org/officeDocument/2006/relationships/hyperlink" Target="http://www.irs.gov/pub/irs-pdf/p46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rs.gov/pub/irs-pdf/p53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pub/irs-pdf/p46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s.gov/pub/irs-pdf/p15.pdf" TargetMode="External"/><Relationship Id="rId4" Type="http://schemas.openxmlformats.org/officeDocument/2006/relationships/webSettings" Target="webSettings.xml"/><Relationship Id="rId9" Type="http://schemas.openxmlformats.org/officeDocument/2006/relationships/hyperlink" Target="https://justworks.com/blog/expenses-101-proper-substantiation-business-expenses.html" TargetMode="External"/><Relationship Id="rId14" Type="http://schemas.openxmlformats.org/officeDocument/2006/relationships/hyperlink" Target="https://www.irs.gov/newsroom/2017-standard-mileage-rates-for-business-and-medical-and-moving-annou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16</cp:revision>
  <cp:lastPrinted>2021-04-01T14:58:00Z</cp:lastPrinted>
  <dcterms:created xsi:type="dcterms:W3CDTF">2020-03-12T13:44:00Z</dcterms:created>
  <dcterms:modified xsi:type="dcterms:W3CDTF">2021-09-17T11:14:00Z</dcterms:modified>
</cp:coreProperties>
</file>